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360" w:lineRule="auto"/>
        <w:jc w:val="center"/>
        <w:rPr>
          <w:rFonts w:asciiTheme="minorEastAsia" w:hAnsiTheme="minorEastAsia" w:eastAsia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采购需求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项目名称：丹棱县全域公交车辆采购项目</w:t>
      </w:r>
    </w:p>
    <w:p>
      <w:pPr>
        <w:pStyle w:val="3"/>
        <w:rPr>
          <w:rFonts w:hint="eastAsia"/>
        </w:rPr>
      </w:pPr>
      <w:r>
        <w:rPr>
          <w:rFonts w:cs="Mongolian Baiti" w:asciiTheme="minorEastAsia" w:hAnsiTheme="minorEastAsia" w:eastAsiaTheme="minorEastAsia"/>
          <w:b/>
          <w:sz w:val="24"/>
          <w:szCs w:val="22"/>
        </w:rPr>
        <w:t>二</w:t>
      </w:r>
      <w:r>
        <w:rPr>
          <w:rFonts w:hint="eastAsia" w:cs="Mongolian Baiti" w:asciiTheme="minorEastAsia" w:hAnsiTheme="minorEastAsia" w:eastAsiaTheme="minorEastAsia"/>
          <w:b/>
          <w:sz w:val="24"/>
          <w:szCs w:val="22"/>
        </w:rPr>
        <w:t>、</w:t>
      </w:r>
      <w:r>
        <w:rPr>
          <w:rFonts w:cs="Mongolian Baiti" w:asciiTheme="minorEastAsia" w:hAnsiTheme="minorEastAsia" w:eastAsiaTheme="minorEastAsia"/>
          <w:b/>
          <w:sz w:val="24"/>
          <w:szCs w:val="22"/>
        </w:rPr>
        <w:t>采购数量</w:t>
      </w:r>
      <w:r>
        <w:rPr>
          <w:rFonts w:hint="eastAsia" w:cs="Mongolian Baiti" w:asciiTheme="minorEastAsia" w:hAnsiTheme="minorEastAsia" w:eastAsiaTheme="minorEastAsia"/>
          <w:b/>
          <w:sz w:val="24"/>
          <w:szCs w:val="22"/>
        </w:rPr>
        <w:t>：1</w:t>
      </w:r>
      <w:r>
        <w:rPr>
          <w:rFonts w:cs="Mongolian Baiti" w:asciiTheme="minorEastAsia" w:hAnsiTheme="minorEastAsia" w:eastAsiaTheme="minorEastAsia"/>
          <w:b/>
          <w:sz w:val="24"/>
          <w:szCs w:val="22"/>
        </w:rPr>
        <w:t>0辆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三、采购清单及技术参数：</w:t>
      </w:r>
    </w:p>
    <w:tbl>
      <w:tblPr>
        <w:tblStyle w:val="4"/>
        <w:tblW w:w="9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60"/>
        <w:gridCol w:w="7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技术参数以及配置要求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整体要求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客车整车在功能、结构、强度等方面的技术要求均应符合GB／13094－2017《客车结构安全要求》及国家现行有关标准。投标人拟投标车型符合国家工信部汽车生产企业及产品公告、节能与新能源汽车示范推广应用工程推荐车型目录、免征车辆购置税的新能源汽车车型目录、国家机动车排放标准的新生产机动车型，保证能完成在当地国税局车购办理中心能及时获得免税；保证所购车辆能入户上牌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☆车辆外型尺寸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8100mm</w:t>
            </w:r>
            <w:r>
              <w:rPr>
                <w:rFonts w:hint="eastAsia" w:ascii="宋体" w:hAnsi="宋体" w:cs="宋体"/>
                <w:szCs w:val="21"/>
              </w:rPr>
              <w:t>≤长≤</w:t>
            </w:r>
            <w:r>
              <w:rPr>
                <w:rFonts w:ascii="宋体" w:hAnsi="宋体" w:cs="Calibri"/>
                <w:szCs w:val="21"/>
              </w:rPr>
              <w:t>8200mm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 w:cs="Calibri"/>
                <w:szCs w:val="21"/>
              </w:rPr>
              <w:t>2400mm</w:t>
            </w:r>
            <w:r>
              <w:rPr>
                <w:rFonts w:hint="eastAsia" w:ascii="宋体" w:hAnsi="宋体" w:cs="宋体"/>
                <w:szCs w:val="21"/>
              </w:rPr>
              <w:t>≤宽≤</w:t>
            </w:r>
            <w:r>
              <w:rPr>
                <w:rFonts w:ascii="宋体" w:hAnsi="宋体" w:cs="Calibri"/>
                <w:szCs w:val="21"/>
              </w:rPr>
              <w:t xml:space="preserve">2500mm </w:t>
            </w:r>
            <w:r>
              <w:rPr>
                <w:rFonts w:hint="eastAsia" w:ascii="宋体" w:hAnsi="宋体" w:cs="宋体"/>
                <w:szCs w:val="21"/>
              </w:rPr>
              <w:t>；高≤</w:t>
            </w:r>
            <w:r>
              <w:rPr>
                <w:rFonts w:ascii="宋体" w:hAnsi="宋体" w:cs="Calibri"/>
                <w:szCs w:val="21"/>
              </w:rPr>
              <w:t>3200mm</w:t>
            </w:r>
            <w:r>
              <w:rPr>
                <w:rFonts w:hint="eastAsia" w:ascii="宋体" w:hAnsi="宋体" w:cs="宋体"/>
                <w:szCs w:val="21"/>
              </w:rPr>
              <w:t>。（以车辆公告为准）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☆车辆轴距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提升车辆通过性，要求轴距（</w:t>
            </w:r>
            <w:r>
              <w:rPr>
                <w:rFonts w:ascii="宋体" w:hAnsi="宋体" w:cs="Calibri"/>
                <w:szCs w:val="21"/>
              </w:rPr>
              <w:t>mm</w:t>
            </w:r>
            <w:r>
              <w:rPr>
                <w:rFonts w:hint="eastAsia" w:ascii="宋体" w:hAnsi="宋体" w:cs="宋体"/>
                <w:szCs w:val="21"/>
              </w:rPr>
              <w:t>）≤</w:t>
            </w:r>
            <w:r>
              <w:rPr>
                <w:rFonts w:ascii="宋体" w:hAnsi="宋体" w:cs="Calibri"/>
                <w:szCs w:val="21"/>
              </w:rPr>
              <w:t>4200</w:t>
            </w:r>
            <w:r>
              <w:rPr>
                <w:rFonts w:hint="eastAsia" w:ascii="宋体" w:hAnsi="宋体" w:cs="宋体"/>
                <w:szCs w:val="21"/>
              </w:rPr>
              <w:t>。（以车辆公告为准）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车身结构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二级踏步结构（以车辆公告为准）。车身造型新颖、大方，线条简洁、车窗视野宽阔。表面处理：全部蒙皮均经过除污、防锈、磷化处理或选用已做防腐处理的板材。型钢材料应采用高强度钢。整车采用阴极电泳工艺，保证八年不生锈、不腐蚀、不断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☆电池系统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采用磷酸铁锂电池，电池电量≥140kwh，电池通过</w:t>
            </w:r>
            <w:r>
              <w:rPr>
                <w:rFonts w:ascii="宋体" w:hAnsi="宋体" w:cs="Calibri"/>
                <w:szCs w:val="21"/>
              </w:rPr>
              <w:t>GB 38031-2020</w:t>
            </w:r>
            <w:r>
              <w:rPr>
                <w:rFonts w:hint="eastAsia" w:ascii="宋体" w:hAnsi="宋体" w:cs="宋体"/>
                <w:szCs w:val="21"/>
              </w:rPr>
              <w:t>《电动汽车用动力蓄电池安全要求》检验，使用新款电芯，动力电池系统搭载主动冷却降温装置，系统能量密度≥</w:t>
            </w:r>
            <w:r>
              <w:rPr>
                <w:rFonts w:ascii="宋体" w:hAnsi="宋体" w:cs="Calibri"/>
                <w:szCs w:val="21"/>
              </w:rPr>
              <w:t>160Wh/kg</w:t>
            </w:r>
            <w:r>
              <w:rPr>
                <w:rFonts w:hint="eastAsia" w:ascii="宋体" w:hAnsi="宋体" w:cs="宋体"/>
                <w:szCs w:val="21"/>
              </w:rPr>
              <w:t>（提供相关证明材料），动力电池防护等级≥</w:t>
            </w:r>
            <w:r>
              <w:rPr>
                <w:rFonts w:ascii="宋体" w:hAnsi="宋体" w:cs="Calibri"/>
                <w:szCs w:val="21"/>
              </w:rPr>
              <w:t>IP68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电机采用水冷永磁同步直驱电机，峰值功率≥160</w:t>
            </w:r>
            <w:r>
              <w:rPr>
                <w:rFonts w:ascii="宋体" w:hAnsi="宋体" w:cs="Calibri"/>
                <w:szCs w:val="21"/>
              </w:rPr>
              <w:t>kw</w:t>
            </w:r>
            <w:r>
              <w:rPr>
                <w:rFonts w:hint="eastAsia" w:ascii="宋体" w:hAnsi="宋体" w:cs="宋体"/>
                <w:szCs w:val="21"/>
              </w:rPr>
              <w:t>（提供相关证明材料），电机防护等级≥</w:t>
            </w:r>
            <w:r>
              <w:rPr>
                <w:rFonts w:ascii="宋体" w:hAnsi="宋体" w:cs="Calibri"/>
                <w:szCs w:val="21"/>
              </w:rPr>
              <w:t>IP68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电控系统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车高压部件控制器采用优质控制器，要求DC-DC、驱动电机控制器、助力转向控制器、高压配电柜、空压机控制器高度集成，以减少零部件数量和高压连接点，确保高压连接的安全性与可靠性，减少故障率，保证车辆安全。防护等级≥IP68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灭火弹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电机、高电压设备舱、电池舱配置自动灭火弹，保障三电系统的安全性。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集中润滑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安装集中润滑系统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悬架系统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</w:t>
            </w:r>
            <w:r>
              <w:rPr>
                <w:rFonts w:ascii="宋体" w:hAnsi="宋体" w:cs="Calibri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后</w:t>
            </w:r>
            <w:r>
              <w:rPr>
                <w:rFonts w:ascii="宋体" w:hAnsi="宋体" w:cs="Calibri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板簧悬架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制动系统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前盘后鼓，前后桥一体化轴承单元（免维护）。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△轮胎轮辋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轮胎型号规格：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全钢子午线真空胎</w:t>
            </w:r>
            <w:r>
              <w:rPr>
                <w:rFonts w:hint="eastAsia" w:ascii="宋体" w:hAnsi="宋体" w:cs="宋体"/>
                <w:szCs w:val="21"/>
              </w:rPr>
              <w:t>（以车辆公告为准）；为提升整车经济性，须采用铝合金轮辋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CAN总线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整车线束采用耐高温辐照阻燃电线，整车</w:t>
            </w:r>
            <w:r>
              <w:rPr>
                <w:rFonts w:ascii="宋体" w:hAnsi="宋体" w:cs="Calibri"/>
                <w:szCs w:val="21"/>
              </w:rPr>
              <w:t>CAN</w:t>
            </w:r>
            <w:r>
              <w:rPr>
                <w:rFonts w:hint="eastAsia" w:ascii="宋体" w:hAnsi="宋体" w:cs="宋体"/>
                <w:szCs w:val="21"/>
              </w:rPr>
              <w:t>线束采用镀锡阻燃电线；底盘部分制动</w:t>
            </w:r>
            <w:r>
              <w:rPr>
                <w:rFonts w:ascii="宋体" w:hAnsi="宋体" w:cs="Calibri"/>
                <w:szCs w:val="21"/>
              </w:rPr>
              <w:t>ABS</w:t>
            </w:r>
            <w:r>
              <w:rPr>
                <w:rFonts w:hint="eastAsia" w:ascii="宋体" w:hAnsi="宋体" w:cs="宋体"/>
                <w:szCs w:val="21"/>
              </w:rPr>
              <w:t>控制器、仪表等都可以通过</w:t>
            </w:r>
            <w:r>
              <w:rPr>
                <w:rFonts w:ascii="宋体" w:hAnsi="宋体" w:cs="Calibri"/>
                <w:szCs w:val="21"/>
              </w:rPr>
              <w:t>CAN</w:t>
            </w:r>
            <w:r>
              <w:rPr>
                <w:rFonts w:hint="eastAsia" w:ascii="宋体" w:hAnsi="宋体" w:cs="宋体"/>
                <w:szCs w:val="21"/>
              </w:rPr>
              <w:t>总线控制。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内饰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整车使用阻燃内饰及隔热阻燃材料满足GB38262-2019要求。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风道扶手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 xml:space="preserve"> PVC</w:t>
            </w:r>
            <w:r>
              <w:rPr>
                <w:rFonts w:hint="eastAsia" w:ascii="宋体" w:hAnsi="宋体" w:cs="Calibri"/>
                <w:szCs w:val="21"/>
              </w:rPr>
              <w:t>整体式风道，风道合理布置广告牌框，间隔式</w:t>
            </w:r>
            <w:r>
              <w:rPr>
                <w:rFonts w:ascii="宋体" w:hAnsi="宋体" w:cs="Calibri"/>
                <w:szCs w:val="21"/>
              </w:rPr>
              <w:t>LED</w:t>
            </w:r>
            <w:r>
              <w:rPr>
                <w:rFonts w:hint="eastAsia" w:ascii="宋体" w:hAnsi="宋体" w:cs="Calibri"/>
                <w:szCs w:val="21"/>
              </w:rPr>
              <w:t>长条灯；扶手采用不露钉、不落地式结构设计安装，保证安全性和过道通过性。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地板及地板革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整车采用大平面高密度地板（要求双面涂胶，防水），地板厚度≥</w:t>
            </w:r>
            <w:r>
              <w:rPr>
                <w:rFonts w:ascii="宋体" w:hAnsi="宋体" w:cs="Calibri"/>
                <w:szCs w:val="21"/>
              </w:rPr>
              <w:t>15mm</w:t>
            </w:r>
            <w:r>
              <w:rPr>
                <w:rFonts w:hint="eastAsia" w:ascii="宋体" w:hAnsi="宋体" w:cs="宋体"/>
                <w:szCs w:val="21"/>
              </w:rPr>
              <w:t>，板与客车底架采用专用地板自锁螺栓连接，地板各连接缝、地板与车身的接缝处应涂密封胶。铺设焊接式石英砂防滑地板革，地板革与地板革采用焊接拼接。地板与地板革采用进口高强度防水专用地板革胶粘接，做到不脱胶、不起泡、不开裂。前后乘客门踏步区域采用黄色同型专用地板革，上有“站立禁区”字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车门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内摆门，车辆应具备乘客门未关闭到位车辆不能起步行驶的功能，为提升乘客门可靠性，采用乘客门免维护。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座椅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合理安装不少于26座座椅，单排座椅采用斜腿设计，不占用地面空间，不少于4个爱心座椅，爱心座椅以不同颜色区分。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司机包围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符合四川省运管局贯彻执行《</w:t>
            </w:r>
            <w:r>
              <w:rPr>
                <w:rFonts w:ascii="宋体" w:hAnsi="宋体" w:cs="Calibri"/>
                <w:szCs w:val="21"/>
              </w:rPr>
              <w:t>JT/T1240-2019</w:t>
            </w:r>
            <w:r>
              <w:rPr>
                <w:rFonts w:hint="eastAsia" w:ascii="宋体" w:hAnsi="宋体" w:cs="宋体"/>
                <w:szCs w:val="21"/>
              </w:rPr>
              <w:t>城市公共汽电车车辆专用安全设施技术要求》：驾驶区与乘客区分离，安装司机包围结构。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采用冷暖一体纯电动专用空调，制冷量≥24000Kcal／h，制热量≥22000Kcal／h。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公交视频监控系统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安装行车记录仪功能(含SIM卡)，配置不小于128G的SD卡，安装7路摄像头(司机+整车+前路况+前乘客门+中乘客门+倒车+操纵踏板),采用嵌入式倒车探头，要求防水、防尘，并安装半球形护罩防止撞击，含主动安防系统。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投币机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合理安装投币机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显示与报站要求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安装前、后、侧电子路牌，车内安装车内显示屏，安装报站器。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电池24小时监控系统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为避免车辆在长期停放过程中出现的电池故障无法监控，保证电池系统安全，避免安全事故发生，采用电池24小时监控系统。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电机泥沙防护结构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为避免路面泥沙水进入电机后造成电机损坏，采用电机泥沙防护结构。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电机抗凝露结构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为避免潮湿、低温环境下接线盒等薄壁件内表面生成的水影响线路绝缘性能，采用电机抗凝露结构。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智能辅助功能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为提升车辆驾乘安全性，须有智能辅助功能，包含电子驻车、坡道辅助、停车制动、驱动防滑、复合制动功能。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快换充电插座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为解决充电插座使用过热烧蚀及无法低成本快速维修的瓶颈，采用耐久性强的快换充电插座。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其他要求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车内配</w:t>
            </w:r>
            <w:r>
              <w:rPr>
                <w:rFonts w:ascii="宋体" w:hAnsi="宋体" w:cs="Calibri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只干粉型</w:t>
            </w:r>
            <w:r>
              <w:rPr>
                <w:rFonts w:ascii="宋体" w:hAnsi="宋体" w:cs="Calibri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kg灭火器，安装电子钟1个（带温度显示），安装1个翻盖式垃圾篓，车身颜色、图案、标识由采购人决定。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质保要求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电池、电机、电控系统（不含易损易耗件）质保8年，电池电量8年内衰减度不超过20%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超过20%</w:t>
            </w:r>
            <w:r>
              <w:rPr>
                <w:rFonts w:hint="eastAsia" w:ascii="宋体" w:hAnsi="宋体" w:eastAsia="宋体" w:cs="宋体"/>
                <w:szCs w:val="21"/>
              </w:rPr>
              <w:t>应免费更换电池。单体电压满足一致性要求，因单体电压过低、过高、压差过大等因素造成续航里程减少的，视同电池衰减，存在安全隐患的立即更换。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b/>
          <w:bCs/>
          <w:sz w:val="24"/>
        </w:rPr>
      </w:pPr>
    </w:p>
    <w:p>
      <w:pPr>
        <w:spacing w:line="360" w:lineRule="auto"/>
        <w:ind w:firstLine="482" w:firstLineChars="200"/>
        <w:jc w:val="both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三、商务要求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1、投标价格：投标价格含送车费，投标服务费等相关费用。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2、付款方式：签订合同首付20万元订金，含首付款95%资金车辆交付后15个工作日内支付，留存5%作为质量保证金，待车辆上户运行后一年内车辆无重大质量问题，一次性付清。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3、车辆享受国家补贴、地方补贴（省补贴、市补贴）新能源车购车补贴、最高运营补贴（奖励）、运营补贴（奖励）归丹棱大雅公交公司所有，生产厂家严格按国家补贴、地方补贴必须办理相关申报手续。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4、交车地点：丹棱县大雅公交公司停车场。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bCs/>
          <w:kern w:val="0"/>
          <w:sz w:val="24"/>
        </w:rPr>
        <w:t>5、交车时间：合同签订定金到账后35天内交付，如逾期交付，每天按合同总价的0.3%收取违约金。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、在本采购文件中没有提及的与本项目履约切实相关的事宜，在采购人与中标投标人订立合同时明细约定或后续补充约定（约定的内容须符合国家相关法律法规的规定）。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57FDD"/>
    <w:multiLevelType w:val="multilevel"/>
    <w:tmpl w:val="16E57FD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Y2ODhmNjJjMTIzZWE4ZjNhYTE4Zjk3OTAxNzkifQ=="/>
  </w:docVars>
  <w:rsids>
    <w:rsidRoot w:val="0FC67329"/>
    <w:rsid w:val="0FC67329"/>
    <w:rsid w:val="185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cs="Mongolian Bait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2267</Words>
  <Characters>2444</Characters>
  <Lines>0</Lines>
  <Paragraphs>0</Paragraphs>
  <TotalTime>0</TotalTime>
  <ScaleCrop>false</ScaleCrop>
  <LinksUpToDate>false</LinksUpToDate>
  <CharactersWithSpaces>2448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2022-06-08T09:12:00Z</dcterms:created>
  <dc:creator>M -</dc:creator>
  <cp:lastModifiedBy>交博会</cp:lastModifiedBy>
  <dcterms:modified xsi:type="dcterms:W3CDTF">2022-06-09T07:04:57Z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2A68D328C31846BF86AA5749A4CC7E08</vt:lpwstr>
  </property>
</Properties>
</file>